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59D349CC"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694DB9">
        <w:rPr>
          <w:rFonts w:ascii="Arial" w:hAnsi="Arial" w:cs="Arial"/>
          <w:b/>
          <w:i/>
          <w:sz w:val="24"/>
          <w:szCs w:val="24"/>
        </w:rPr>
        <w:t xml:space="preserve">Del 01 de </w:t>
      </w:r>
      <w:proofErr w:type="gramStart"/>
      <w:r w:rsidR="00694DB9">
        <w:rPr>
          <w:rFonts w:ascii="Arial" w:hAnsi="Arial" w:cs="Arial"/>
          <w:b/>
          <w:i/>
          <w:sz w:val="24"/>
          <w:szCs w:val="24"/>
        </w:rPr>
        <w:t>Octubre</w:t>
      </w:r>
      <w:proofErr w:type="gramEnd"/>
      <w:r w:rsidR="0073485B" w:rsidRPr="00E13637">
        <w:rPr>
          <w:rFonts w:ascii="Arial" w:hAnsi="Arial" w:cs="Arial"/>
          <w:b/>
          <w:i/>
          <w:sz w:val="24"/>
          <w:szCs w:val="24"/>
        </w:rPr>
        <w:t xml:space="preserve"> al </w:t>
      </w:r>
      <w:r w:rsidR="00694DB9">
        <w:rPr>
          <w:rFonts w:ascii="Arial" w:hAnsi="Arial" w:cs="Arial"/>
          <w:b/>
          <w:i/>
          <w:sz w:val="24"/>
          <w:szCs w:val="24"/>
        </w:rPr>
        <w:t>31 de Diciembre</w:t>
      </w:r>
      <w:r w:rsidR="0073485B" w:rsidRPr="00E13637">
        <w:rPr>
          <w:rFonts w:ascii="Arial" w:hAnsi="Arial" w:cs="Arial"/>
          <w:b/>
          <w:i/>
          <w:sz w:val="24"/>
          <w:szCs w:val="24"/>
        </w:rPr>
        <w:t xml:space="preserve"> del 2019</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p w14:paraId="1093C27E" w14:textId="19C30A80" w:rsidR="0056276F" w:rsidRDefault="0056276F" w:rsidP="0056276F">
      <w:pPr>
        <w:tabs>
          <w:tab w:val="left" w:pos="1080"/>
        </w:tabs>
      </w:pPr>
    </w:p>
    <w:p w14:paraId="5B1F9C31" w14:textId="77777777" w:rsidR="0056276F" w:rsidRDefault="0056276F" w:rsidP="00434263">
      <w:r>
        <w:rPr>
          <w:noProof/>
          <w:lang w:eastAsia="es-MX"/>
        </w:rPr>
        <mc:AlternateContent>
          <mc:Choice Requires="wps">
            <w:drawing>
              <wp:anchor distT="0" distB="0" distL="114300" distR="114300" simplePos="0" relativeHeight="251659264" behindDoc="0" locked="0" layoutInCell="1" allowOverlap="1" wp14:anchorId="59DECC6A" wp14:editId="5354D56C">
                <wp:simplePos x="0" y="0"/>
                <wp:positionH relativeFrom="column">
                  <wp:posOffset>-270510</wp:posOffset>
                </wp:positionH>
                <wp:positionV relativeFrom="paragraph">
                  <wp:posOffset>77469</wp:posOffset>
                </wp:positionV>
                <wp:extent cx="180975" cy="1428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0058" id="Rectángulo 2" o:spid="_x0000_s1026" style="position:absolute;margin-left:-21.3pt;margin-top:6.1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" fillcolor="#7030a0" strokecolor="#1f3763 [1604]" strokeweight="1pt"/>
            </w:pict>
          </mc:Fallback>
        </mc:AlternateContent>
      </w:r>
      <w:r>
        <w:t xml:space="preserve">Clasificar y delimitar en los planes y programas de desarrollo urbano las áreas de beneficio o afectación en los ejidos y comunidades </w:t>
      </w:r>
    </w:p>
    <w:p w14:paraId="66B7E92D" w14:textId="77777777" w:rsidR="0056276F" w:rsidRDefault="0056276F" w:rsidP="00434263">
      <w:r>
        <w:rPr>
          <w:noProof/>
          <w:lang w:eastAsia="es-MX"/>
        </w:rPr>
        <mc:AlternateContent>
          <mc:Choice Requires="wps">
            <w:drawing>
              <wp:anchor distT="0" distB="0" distL="114300" distR="114300" simplePos="0" relativeHeight="251660288" behindDoc="0" locked="0" layoutInCell="1" allowOverlap="1" wp14:anchorId="788C850B" wp14:editId="41D8FE04">
                <wp:simplePos x="0" y="0"/>
                <wp:positionH relativeFrom="column">
                  <wp:posOffset>-280035</wp:posOffset>
                </wp:positionH>
                <wp:positionV relativeFrom="paragraph">
                  <wp:posOffset>7620</wp:posOffset>
                </wp:positionV>
                <wp:extent cx="18097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80975" cy="123825"/>
                        </a:xfrm>
                        <a:prstGeom prst="rect">
                          <a:avLst/>
                        </a:prstGeom>
                        <a:solidFill>
                          <a:srgbClr val="B76FB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C6D47" id="Rectángulo 3" o:spid="_x0000_s1026" style="position:absolute;margin-left:-22.05pt;margin-top:.6pt;width:14.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" fillcolor="#b76fb9" strokecolor="#1f3763 [1604]" strokeweight="1pt"/>
            </w:pict>
          </mc:Fallback>
        </mc:AlternateContent>
      </w:r>
      <w:r>
        <w:rPr>
          <w:noProof/>
          <w:lang w:eastAsia="es-MX"/>
        </w:rPr>
        <mc:AlternateContent>
          <mc:Choice Requires="wps">
            <w:drawing>
              <wp:anchor distT="0" distB="0" distL="114300" distR="114300" simplePos="0" relativeHeight="251661312" behindDoc="0" locked="0" layoutInCell="1" allowOverlap="1" wp14:anchorId="3C95C595" wp14:editId="58C9AEB5">
                <wp:simplePos x="0" y="0"/>
                <wp:positionH relativeFrom="leftMargin">
                  <wp:posOffset>803910</wp:posOffset>
                </wp:positionH>
                <wp:positionV relativeFrom="paragraph">
                  <wp:posOffset>312420</wp:posOffset>
                </wp:positionV>
                <wp:extent cx="180975" cy="1524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EB3DB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7B705" id="Rectángulo 4" o:spid="_x0000_s1026" style="position:absolute;margin-left:63.3pt;margin-top:24.6pt;width:14.25pt;height:12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" fillcolor="#eb3db9" strokecolor="#1f3763 [1604]" strokeweight="1pt">
                <w10:wrap anchorx="margin"/>
              </v:rect>
            </w:pict>
          </mc:Fallback>
        </mc:AlternateContent>
      </w:r>
      <w:r>
        <w:t xml:space="preserve"> Determinar la utilidad pública de las acciones de Regularización.</w:t>
      </w:r>
    </w:p>
    <w:p w14:paraId="38795A56" w14:textId="77777777" w:rsidR="0056276F" w:rsidRDefault="0056276F" w:rsidP="00434263">
      <w:r>
        <w:t xml:space="preserve">Revisar y analizar el Reglamento para la Regularización y Titulación de Predios Urbanos en el Municipio de Cabo Corrientes. </w:t>
      </w:r>
    </w:p>
    <w:p w14:paraId="52372E91" w14:textId="77777777" w:rsidR="0056276F" w:rsidRPr="00941562" w:rsidRDefault="0056276F" w:rsidP="0056276F">
      <w:pPr>
        <w:ind w:firstLine="708"/>
      </w:pPr>
      <w:r>
        <w:rPr>
          <w:noProof/>
          <w:lang w:eastAsia="es-MX"/>
        </w:rPr>
        <mc:AlternateContent>
          <mc:Choice Requires="wps">
            <w:drawing>
              <wp:anchor distT="0" distB="0" distL="114300" distR="114300" simplePos="0" relativeHeight="251666432" behindDoc="0" locked="0" layoutInCell="1" allowOverlap="1" wp14:anchorId="7A31FA66" wp14:editId="6A60066D">
                <wp:simplePos x="0" y="0"/>
                <wp:positionH relativeFrom="column">
                  <wp:posOffset>158115</wp:posOffset>
                </wp:positionH>
                <wp:positionV relativeFrom="paragraph">
                  <wp:posOffset>452754</wp:posOffset>
                </wp:positionV>
                <wp:extent cx="2286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3AD9E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BD27" id="Rectángulo 6" o:spid="_x0000_s1026" style="position:absolute;margin-left:12.45pt;margin-top:35.65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" fillcolor="#3ad9ee" strokecolor="#1f3763 [1604]" strokeweight="1pt"/>
            </w:pict>
          </mc:Fallback>
        </mc:AlternateContent>
      </w:r>
      <w:r>
        <w:t xml:space="preserve">Convocar y presidir reuniones en ejidos y comunidades con la finalidad de informar sobre los trabajos de la </w:t>
      </w:r>
      <w:proofErr w:type="spellStart"/>
      <w:r>
        <w:t>comur</w:t>
      </w:r>
      <w:proofErr w:type="spellEnd"/>
      <w:r>
        <w:t xml:space="preserve">. </w:t>
      </w:r>
    </w:p>
    <w:p w14:paraId="2A024100" w14:textId="77777777" w:rsidR="0056276F" w:rsidRPr="00941562" w:rsidRDefault="0056276F" w:rsidP="0056276F">
      <w:r w:rsidRPr="00595889">
        <w:rPr>
          <w:noProof/>
          <w:color w:val="001132"/>
          <w:lang w:eastAsia="es-MX"/>
        </w:rPr>
        <mc:AlternateContent>
          <mc:Choice Requires="wps">
            <w:drawing>
              <wp:anchor distT="0" distB="0" distL="114300" distR="114300" simplePos="0" relativeHeight="251667456" behindDoc="0" locked="0" layoutInCell="1" allowOverlap="1" wp14:anchorId="00E368AE" wp14:editId="2F338FF6">
                <wp:simplePos x="0" y="0"/>
                <wp:positionH relativeFrom="column">
                  <wp:posOffset>158115</wp:posOffset>
                </wp:positionH>
                <wp:positionV relativeFrom="paragraph">
                  <wp:posOffset>278765</wp:posOffset>
                </wp:positionV>
                <wp:extent cx="228600" cy="1809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00113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4944" id="Rectángulo 5" o:spid="_x0000_s1026" style="position:absolute;margin-left:12.45pt;margin-top:21.9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" fillcolor="#001132" strokecolor="#1f3763 [1604]" strokeweight="1pt"/>
            </w:pict>
          </mc:Fallback>
        </mc:AlternateContent>
      </w:r>
      <w:r>
        <w:t xml:space="preserve">              Periodo vacacional. </w:t>
      </w:r>
    </w:p>
    <w:p w14:paraId="33846C0D" w14:textId="77777777" w:rsidR="0056276F" w:rsidRDefault="0056276F" w:rsidP="0056276F">
      <w:pPr>
        <w:ind w:firstLine="708"/>
      </w:pPr>
      <w:r>
        <w:t xml:space="preserve">Planificar con el Departamento de Planeación y Desarrollo Urbano la convocatoria del Consejo Municipal de Desarrollo Urbano </w:t>
      </w:r>
    </w:p>
    <w:p w14:paraId="5B8DA55D" w14:textId="775F4CDE" w:rsidR="0056276F" w:rsidRDefault="0056276F" w:rsidP="0056276F">
      <w:pPr>
        <w:tabs>
          <w:tab w:val="left" w:pos="7725"/>
        </w:tabs>
        <w:rPr>
          <w:noProof/>
          <w:lang w:eastAsia="es-MX"/>
        </w:rPr>
      </w:pPr>
      <w:r>
        <w:rPr>
          <w:noProof/>
          <w:lang w:eastAsia="es-MX"/>
        </w:rPr>
        <mc:AlternateContent>
          <mc:Choice Requires="wps">
            <w:drawing>
              <wp:anchor distT="0" distB="0" distL="114300" distR="114300" simplePos="0" relativeHeight="251671552" behindDoc="0" locked="0" layoutInCell="1" allowOverlap="1" wp14:anchorId="3BEB54E2" wp14:editId="4E24423C">
                <wp:simplePos x="0" y="0"/>
                <wp:positionH relativeFrom="column">
                  <wp:posOffset>-12700</wp:posOffset>
                </wp:positionH>
                <wp:positionV relativeFrom="paragraph">
                  <wp:posOffset>295275</wp:posOffset>
                </wp:positionV>
                <wp:extent cx="2095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4296D" id="Rectángulo 11" o:spid="_x0000_s1026" style="position:absolute;margin-left:-1pt;margin-top:23.25pt;width:16.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" fillcolor="#7f5f00 [1607]" strokecolor="#1f3763 [1604]" strokeweight="1pt"/>
            </w:pict>
          </mc:Fallback>
        </mc:AlternateContent>
      </w:r>
      <w:r>
        <w:rPr>
          <w:noProof/>
          <w:lang w:eastAsia="es-MX"/>
        </w:rPr>
        <w:tab/>
      </w:r>
    </w:p>
    <w:p w14:paraId="7DDA1C80" w14:textId="6A769FD9" w:rsidR="0056276F" w:rsidRDefault="0056276F" w:rsidP="0056276F">
      <w:pPr>
        <w:rPr>
          <w:noProof/>
          <w:lang w:eastAsia="es-MX"/>
        </w:rPr>
      </w:pPr>
      <w:r>
        <w:rPr>
          <w:noProof/>
          <w:lang w:eastAsia="es-MX"/>
        </w:rPr>
        <w:t xml:space="preserve">          Llevar acabao reunion con la Comision para revisar las solicitudes de Regularizacion.</w:t>
      </w:r>
    </w:p>
    <w:p w14:paraId="68EBE36F" w14:textId="77777777" w:rsidR="0056276F" w:rsidRDefault="0056276F" w:rsidP="0056276F">
      <w:pPr>
        <w:spacing w:after="0"/>
        <w:rPr>
          <w:b/>
        </w:rPr>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847FA9" w:rsidP="0056276F">
      <w:pPr>
        <w:spacing w:after="0"/>
        <w:rPr>
          <w:b/>
        </w:rPr>
      </w:pPr>
      <w:hyperlink r:id="rId7" w:history="1">
        <w:r w:rsidR="00F67ECA"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40D578D8"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434263">
        <w:rPr>
          <w:rFonts w:ascii="Arial" w:hAnsi="Arial" w:cs="Arial"/>
          <w:sz w:val="24"/>
          <w:szCs w:val="24"/>
        </w:rPr>
        <w:t>30 de septiembre</w:t>
      </w:r>
      <w:r w:rsidRPr="0056276F">
        <w:rPr>
          <w:rFonts w:ascii="Arial" w:hAnsi="Arial" w:cs="Arial"/>
          <w:sz w:val="24"/>
          <w:szCs w:val="24"/>
        </w:rPr>
        <w:t xml:space="preserve"> del Año 2019</w:t>
      </w:r>
    </w:p>
    <w:p w14:paraId="66D65362" w14:textId="77777777" w:rsidR="0056276F" w:rsidRPr="0056276F" w:rsidRDefault="0056276F"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573A5C7F" w14:textId="297D327C" w:rsidR="000B38C2" w:rsidRPr="00A32FDB" w:rsidRDefault="00FD3DAC" w:rsidP="00137C87">
      <w:pPr>
        <w:spacing w:after="0"/>
        <w:jc w:val="both"/>
        <w:rPr>
          <w:rFonts w:ascii="Arial" w:hAnsi="Arial" w:cs="Arial"/>
          <w:sz w:val="16"/>
          <w:szCs w:val="16"/>
        </w:rPr>
      </w:pPr>
      <w:bookmarkStart w:id="0" w:name="_GoBack"/>
      <w:bookmarkEnd w:id="0"/>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8BE54" w14:textId="77777777" w:rsidR="00847FA9" w:rsidRDefault="00847FA9" w:rsidP="00864812">
      <w:pPr>
        <w:spacing w:after="0" w:line="240" w:lineRule="auto"/>
      </w:pPr>
      <w:r>
        <w:separator/>
      </w:r>
    </w:p>
  </w:endnote>
  <w:endnote w:type="continuationSeparator" w:id="0">
    <w:p w14:paraId="6BE2BF6B" w14:textId="77777777" w:rsidR="00847FA9" w:rsidRDefault="00847FA9"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A6E4F" w14:textId="77777777" w:rsidR="00847FA9" w:rsidRDefault="00847FA9" w:rsidP="00864812">
      <w:pPr>
        <w:spacing w:after="0" w:line="240" w:lineRule="auto"/>
      </w:pPr>
      <w:r>
        <w:separator/>
      </w:r>
    </w:p>
  </w:footnote>
  <w:footnote w:type="continuationSeparator" w:id="0">
    <w:p w14:paraId="74FC5699" w14:textId="77777777" w:rsidR="00847FA9" w:rsidRDefault="00847FA9"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0"/>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94DB9"/>
    <w:rsid w:val="006C3DA4"/>
    <w:rsid w:val="006F7588"/>
    <w:rsid w:val="0070513A"/>
    <w:rsid w:val="0073485B"/>
    <w:rsid w:val="007355B9"/>
    <w:rsid w:val="00741835"/>
    <w:rsid w:val="0074557F"/>
    <w:rsid w:val="00764747"/>
    <w:rsid w:val="00782337"/>
    <w:rsid w:val="007A0961"/>
    <w:rsid w:val="007D1861"/>
    <w:rsid w:val="00847FA9"/>
    <w:rsid w:val="00864812"/>
    <w:rsid w:val="00871DC8"/>
    <w:rsid w:val="0089314E"/>
    <w:rsid w:val="008B7409"/>
    <w:rsid w:val="008C178A"/>
    <w:rsid w:val="008C23DE"/>
    <w:rsid w:val="008E0114"/>
    <w:rsid w:val="008E76A1"/>
    <w:rsid w:val="0091098A"/>
    <w:rsid w:val="00973B58"/>
    <w:rsid w:val="009A4A2E"/>
    <w:rsid w:val="009B7619"/>
    <w:rsid w:val="00A200C1"/>
    <w:rsid w:val="00A22216"/>
    <w:rsid w:val="00A32FDB"/>
    <w:rsid w:val="00A724AA"/>
    <w:rsid w:val="00A836A6"/>
    <w:rsid w:val="00A933B5"/>
    <w:rsid w:val="00AC2472"/>
    <w:rsid w:val="00B965EC"/>
    <w:rsid w:val="00BC4983"/>
    <w:rsid w:val="00BF4866"/>
    <w:rsid w:val="00C426E5"/>
    <w:rsid w:val="00C9195F"/>
    <w:rsid w:val="00CA7C94"/>
    <w:rsid w:val="00CC2BA3"/>
    <w:rsid w:val="00D005AB"/>
    <w:rsid w:val="00D47A1C"/>
    <w:rsid w:val="00D6364B"/>
    <w:rsid w:val="00D8783B"/>
    <w:rsid w:val="00D97B60"/>
    <w:rsid w:val="00E11066"/>
    <w:rsid w:val="00E13637"/>
    <w:rsid w:val="00E37A4D"/>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2123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3</cp:revision>
  <cp:lastPrinted>2019-05-23T20:13:00Z</cp:lastPrinted>
  <dcterms:created xsi:type="dcterms:W3CDTF">2021-01-14T16:37:00Z</dcterms:created>
  <dcterms:modified xsi:type="dcterms:W3CDTF">2021-01-14T16:39:00Z</dcterms:modified>
</cp:coreProperties>
</file>